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jc w:val="center"/>
        <w:tblCellSpacing w:w="15"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4A0" w:firstRow="1" w:lastRow="0" w:firstColumn="1" w:lastColumn="0" w:noHBand="0" w:noVBand="1"/>
      </w:tblPr>
      <w:tblGrid>
        <w:gridCol w:w="1650"/>
        <w:gridCol w:w="4057"/>
        <w:gridCol w:w="2355"/>
        <w:gridCol w:w="3938"/>
      </w:tblGrid>
      <w:tr w:rsidR="00961BD5" w:rsidRPr="00961BD5" w:rsidTr="00961BD5">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961BD5" w:rsidRPr="00961BD5" w:rsidRDefault="00961BD5" w:rsidP="00961BD5">
            <w:pPr>
              <w:widowControl/>
              <w:spacing w:after="150"/>
              <w:jc w:val="center"/>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編號</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961BD5" w:rsidRPr="00961BD5" w:rsidRDefault="00961BD5" w:rsidP="00961BD5">
            <w:pPr>
              <w:widowControl/>
              <w:spacing w:after="150"/>
              <w:rPr>
                <w:rFonts w:ascii="新細明體" w:eastAsia="新細明體" w:hAnsi="新細明體" w:cs="新細明體"/>
                <w:kern w:val="0"/>
                <w:sz w:val="23"/>
                <w:szCs w:val="23"/>
              </w:rPr>
            </w:pPr>
            <w:bookmarkStart w:id="0" w:name="_GoBack"/>
            <w:r w:rsidRPr="00961BD5">
              <w:rPr>
                <w:rFonts w:ascii="新細明體" w:eastAsia="新細明體" w:hAnsi="新細明體" w:cs="新細明體"/>
                <w:kern w:val="0"/>
                <w:sz w:val="23"/>
                <w:szCs w:val="23"/>
              </w:rPr>
              <w:t>10755064</w:t>
            </w:r>
            <w:bookmarkEnd w:id="0"/>
          </w:p>
        </w:tc>
      </w:tr>
      <w:tr w:rsidR="00961BD5" w:rsidRPr="00961BD5" w:rsidTr="00961BD5">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961BD5" w:rsidRPr="00961BD5" w:rsidRDefault="00961BD5" w:rsidP="00961BD5">
            <w:pPr>
              <w:widowControl/>
              <w:spacing w:after="150"/>
              <w:jc w:val="center"/>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主旨</w:t>
            </w:r>
          </w:p>
        </w:tc>
        <w:tc>
          <w:tcPr>
            <w:tcW w:w="0" w:type="auto"/>
            <w:gridSpan w:val="3"/>
            <w:tcBorders>
              <w:top w:val="outset" w:sz="6" w:space="0" w:color="CCCCCC"/>
              <w:left w:val="outset" w:sz="6" w:space="0" w:color="CCCCCC"/>
              <w:bottom w:val="outset" w:sz="6" w:space="0" w:color="CCCCCC"/>
              <w:right w:val="outset" w:sz="6" w:space="0" w:color="CCCCCC"/>
            </w:tcBorders>
            <w:vAlign w:val="center"/>
            <w:hideMark/>
          </w:tcPr>
          <w:p w:rsidR="00961BD5" w:rsidRPr="00961BD5" w:rsidRDefault="00961BD5" w:rsidP="00961BD5">
            <w:pPr>
              <w:widowControl/>
              <w:spacing w:after="150"/>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檢送本縣107學年度國民中學超額教師介聘及縣內介聘作業相關規定及表件資料，請惠予轉知所屬人員知悉，請查照。</w:t>
            </w:r>
          </w:p>
        </w:tc>
      </w:tr>
      <w:tr w:rsidR="00961BD5" w:rsidRPr="00961BD5" w:rsidTr="00961BD5">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961BD5" w:rsidRPr="00961BD5" w:rsidRDefault="00961BD5" w:rsidP="00961BD5">
            <w:pPr>
              <w:widowControl/>
              <w:spacing w:after="150"/>
              <w:jc w:val="center"/>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公告類別</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961BD5" w:rsidRPr="00961BD5" w:rsidRDefault="00961BD5" w:rsidP="00961BD5">
            <w:pPr>
              <w:widowControl/>
              <w:spacing w:after="150"/>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行政公告</w:t>
            </w:r>
          </w:p>
        </w:tc>
      </w:tr>
      <w:tr w:rsidR="00961BD5" w:rsidRPr="00961BD5" w:rsidTr="00961BD5">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961BD5" w:rsidRPr="00961BD5" w:rsidRDefault="00961BD5" w:rsidP="00961BD5">
            <w:pPr>
              <w:widowControl/>
              <w:spacing w:after="150"/>
              <w:jc w:val="center"/>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發佈單位</w:t>
            </w:r>
          </w:p>
        </w:tc>
        <w:tc>
          <w:tcPr>
            <w:tcW w:w="3000" w:type="dxa"/>
            <w:tcBorders>
              <w:top w:val="outset" w:sz="6" w:space="0" w:color="CCCCCC"/>
              <w:left w:val="outset" w:sz="6" w:space="0" w:color="CCCCCC"/>
              <w:bottom w:val="outset" w:sz="6" w:space="0" w:color="CCCCCC"/>
              <w:right w:val="outset" w:sz="6" w:space="0" w:color="CCCCCC"/>
            </w:tcBorders>
            <w:vAlign w:val="center"/>
            <w:hideMark/>
          </w:tcPr>
          <w:p w:rsidR="00961BD5" w:rsidRPr="00961BD5" w:rsidRDefault="00961BD5" w:rsidP="00961BD5">
            <w:pPr>
              <w:widowControl/>
              <w:spacing w:after="150"/>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學管科</w:t>
            </w:r>
          </w:p>
        </w:tc>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961BD5" w:rsidRPr="00961BD5" w:rsidRDefault="00961BD5" w:rsidP="00961BD5">
            <w:pPr>
              <w:widowControl/>
              <w:spacing w:after="150"/>
              <w:jc w:val="center"/>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發佈人</w:t>
            </w:r>
          </w:p>
        </w:tc>
        <w:tc>
          <w:tcPr>
            <w:tcW w:w="3000" w:type="dxa"/>
            <w:tcBorders>
              <w:top w:val="outset" w:sz="6" w:space="0" w:color="CCCCCC"/>
              <w:left w:val="outset" w:sz="6" w:space="0" w:color="CCCCCC"/>
              <w:bottom w:val="outset" w:sz="6" w:space="0" w:color="CCCCCC"/>
              <w:right w:val="outset" w:sz="6" w:space="0" w:color="CCCCCC"/>
            </w:tcBorders>
            <w:vAlign w:val="center"/>
            <w:hideMark/>
          </w:tcPr>
          <w:p w:rsidR="00961BD5" w:rsidRPr="00961BD5" w:rsidRDefault="00961BD5" w:rsidP="00961BD5">
            <w:pPr>
              <w:widowControl/>
              <w:spacing w:after="150"/>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蔡穎逸</w:t>
            </w:r>
          </w:p>
        </w:tc>
      </w:tr>
      <w:tr w:rsidR="00961BD5" w:rsidRPr="00961BD5" w:rsidTr="00961BD5">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961BD5" w:rsidRPr="00961BD5" w:rsidRDefault="00961BD5" w:rsidP="00961BD5">
            <w:pPr>
              <w:widowControl/>
              <w:spacing w:after="150"/>
              <w:jc w:val="center"/>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發佈時間</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961BD5" w:rsidRPr="00961BD5" w:rsidRDefault="00961BD5" w:rsidP="00961BD5">
            <w:pPr>
              <w:widowControl/>
              <w:spacing w:after="150"/>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2018/04/23</w:t>
            </w:r>
          </w:p>
        </w:tc>
      </w:tr>
      <w:tr w:rsidR="00961BD5" w:rsidRPr="00961BD5" w:rsidTr="00961BD5">
        <w:trPr>
          <w:tblCellSpacing w:w="15" w:type="dxa"/>
          <w:jc w:val="center"/>
        </w:trPr>
        <w:tc>
          <w:tcPr>
            <w:tcW w:w="0" w:type="auto"/>
            <w:gridSpan w:val="4"/>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961BD5" w:rsidRPr="00961BD5" w:rsidRDefault="00961BD5" w:rsidP="00961BD5">
            <w:pPr>
              <w:widowControl/>
              <w:spacing w:after="150"/>
              <w:jc w:val="center"/>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公告內容</w:t>
            </w:r>
          </w:p>
        </w:tc>
      </w:tr>
      <w:tr w:rsidR="00961BD5" w:rsidRPr="00961BD5" w:rsidTr="00961BD5">
        <w:trPr>
          <w:tblCellSpacing w:w="15" w:type="dxa"/>
          <w:jc w:val="center"/>
        </w:trPr>
        <w:tc>
          <w:tcPr>
            <w:tcW w:w="0" w:type="auto"/>
            <w:gridSpan w:val="4"/>
            <w:tcBorders>
              <w:top w:val="outset" w:sz="6" w:space="0" w:color="CCCCCC"/>
              <w:left w:val="outset" w:sz="6" w:space="0" w:color="CCCCCC"/>
              <w:bottom w:val="outset" w:sz="6" w:space="0" w:color="CCCCCC"/>
              <w:right w:val="outset" w:sz="6" w:space="0" w:color="CCCCCC"/>
            </w:tcBorders>
            <w:vAlign w:val="center"/>
            <w:hideMark/>
          </w:tcPr>
          <w:p w:rsidR="00961BD5" w:rsidRPr="00961BD5" w:rsidRDefault="00961BD5" w:rsidP="00961BD5">
            <w:pPr>
              <w:widowControl/>
              <w:spacing w:after="150"/>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 xml:space="preserve">　</w:t>
            </w:r>
          </w:p>
          <w:p w:rsidR="00961BD5" w:rsidRPr="00961BD5" w:rsidRDefault="00961BD5" w:rsidP="00961BD5">
            <w:pPr>
              <w:widowControl/>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一、本縣國民中學超額教師介聘他校及教師介聘縣內他校服務申請作業主要時間如下(詳參附件工作進度預定表)：</w:t>
            </w:r>
          </w:p>
          <w:p w:rsidR="00961BD5" w:rsidRPr="00961BD5" w:rsidRDefault="00961BD5" w:rsidP="00961BD5">
            <w:pPr>
              <w:widowControl/>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 xml:space="preserve">　(一) 積分審查作業：107年5月7、8日(星期一、二)上午9時至12時、下午2時至4時，5月9日(星期三)上午9時至11時假和群國中辦理，逾時不予受理；另檢附本縣107學年度國民中學教師介聘積分審查送件時間一覽表，請各校依表列時間送件。</w:t>
            </w:r>
          </w:p>
          <w:p w:rsidR="00961BD5" w:rsidRPr="00961BD5" w:rsidRDefault="00961BD5" w:rsidP="00961BD5">
            <w:pPr>
              <w:widowControl/>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 xml:space="preserve">　(二) 超額教師介聘他校公開作業訂於107年6月12日(星期二)上午9時至11時、縣內介聘公開作業訂於107年6月12日(星期二)下午2時30分至4時，假彰泰國中舉行，各申請人應於指定時間地點到達介聘作業會場，當場以公開方式按科別、積分依序唱名介聘，未親自到場或未委託他人到場者，改列各科最後名次辦理，該科介聘結束後到場者不予受理。</w:t>
            </w:r>
          </w:p>
          <w:p w:rsidR="00961BD5" w:rsidRPr="00961BD5" w:rsidRDefault="00961BD5" w:rsidP="00961BD5">
            <w:pPr>
              <w:widowControl/>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二、積分審查原則採計現職學校之相關積分，如106學年度已為超額教師，則保留原服務學校之年資及積分，並請提供超額介聘之公文文號，俾利審查。</w:t>
            </w:r>
          </w:p>
          <w:p w:rsidR="00961BD5" w:rsidRPr="00961BD5" w:rsidRDefault="00961BD5" w:rsidP="00961BD5">
            <w:pPr>
              <w:widowControl/>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三、申請介聘教師及學校人事人員請詳閱相關作業要點及時程表；申請人請準備相關證件（如服務證明、戶籍謄本或新式戶口名簿、教師登記證、派令、聘書、考核通知、獎懲、研習等相關證明文件）影本各1份（證件正本應送學校人事人員核對，影本請蓋與正本相符核章並按申請表順序裝訂成冊以利審核），連同申請表各1紙，於積分審查時憑核。</w:t>
            </w:r>
          </w:p>
          <w:p w:rsidR="00961BD5" w:rsidRPr="00961BD5" w:rsidRDefault="00961BD5" w:rsidP="00961BD5">
            <w:pPr>
              <w:widowControl/>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四、旨揭表件資料得至本縣甄選介聘天地網頁下載(網址http://163.23.89.100/boe/)。</w:t>
            </w:r>
          </w:p>
        </w:tc>
      </w:tr>
      <w:tr w:rsidR="00961BD5" w:rsidRPr="00961BD5" w:rsidTr="00961BD5">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961BD5" w:rsidRPr="00961BD5" w:rsidRDefault="00961BD5" w:rsidP="00961BD5">
            <w:pPr>
              <w:widowControl/>
              <w:jc w:val="center"/>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相關檔案</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961BD5" w:rsidRPr="00961BD5" w:rsidRDefault="00961BD5" w:rsidP="00961BD5">
            <w:pPr>
              <w:widowControl/>
              <w:rPr>
                <w:rFonts w:ascii="新細明體" w:eastAsia="新細明體" w:hAnsi="新細明體" w:cs="新細明體"/>
                <w:kern w:val="0"/>
                <w:sz w:val="23"/>
                <w:szCs w:val="23"/>
              </w:rPr>
            </w:pPr>
            <w:hyperlink r:id="rId5" w:history="1">
              <w:r w:rsidRPr="00961BD5">
                <w:rPr>
                  <w:rFonts w:ascii="新細明體" w:eastAsia="新細明體" w:hAnsi="新細明體" w:cs="新細明體"/>
                  <w:color w:val="0000FF"/>
                  <w:kern w:val="0"/>
                  <w:sz w:val="23"/>
                  <w:szCs w:val="23"/>
                  <w:u w:val="single"/>
                </w:rPr>
                <w:t>undefine1804230949.pdf</w:t>
              </w:r>
            </w:hyperlink>
            <w:r w:rsidRPr="00961BD5">
              <w:rPr>
                <w:rFonts w:ascii="新細明體" w:eastAsia="新細明體" w:hAnsi="新細明體" w:cs="新細明體"/>
                <w:kern w:val="0"/>
                <w:sz w:val="23"/>
                <w:szCs w:val="23"/>
              </w:rPr>
              <w:t xml:space="preserve"> </w:t>
            </w:r>
            <w:hyperlink r:id="rId6" w:history="1">
              <w:r w:rsidRPr="00961BD5">
                <w:rPr>
                  <w:rFonts w:ascii="新細明體" w:eastAsia="新細明體" w:hAnsi="新細明體" w:cs="新細明體"/>
                  <w:color w:val="0000FF"/>
                  <w:kern w:val="0"/>
                  <w:sz w:val="23"/>
                  <w:szCs w:val="23"/>
                  <w:u w:val="single"/>
                </w:rPr>
                <w:t>undefine1804230950.pdf</w:t>
              </w:r>
            </w:hyperlink>
            <w:r w:rsidRPr="00961BD5">
              <w:rPr>
                <w:rFonts w:ascii="新細明體" w:eastAsia="新細明體" w:hAnsi="新細明體" w:cs="新細明體"/>
                <w:kern w:val="0"/>
                <w:sz w:val="23"/>
                <w:szCs w:val="23"/>
              </w:rPr>
              <w:t xml:space="preserve">　 </w:t>
            </w:r>
            <w:hyperlink r:id="rId7" w:history="1">
              <w:r w:rsidRPr="00961BD5">
                <w:rPr>
                  <w:rFonts w:ascii="新細明體" w:eastAsia="新細明體" w:hAnsi="新細明體" w:cs="新細明體"/>
                  <w:color w:val="0000FF"/>
                  <w:kern w:val="0"/>
                  <w:sz w:val="23"/>
                  <w:szCs w:val="23"/>
                  <w:u w:val="single"/>
                </w:rPr>
                <w:t>undefine1804230950.rar</w:t>
              </w:r>
            </w:hyperlink>
            <w:r w:rsidRPr="00961BD5">
              <w:rPr>
                <w:rFonts w:ascii="新細明體" w:eastAsia="新細明體" w:hAnsi="新細明體" w:cs="新細明體"/>
                <w:kern w:val="0"/>
                <w:sz w:val="23"/>
                <w:szCs w:val="23"/>
              </w:rPr>
              <w:t xml:space="preserve">　 </w:t>
            </w:r>
          </w:p>
        </w:tc>
      </w:tr>
      <w:tr w:rsidR="00961BD5" w:rsidRPr="00961BD5" w:rsidTr="00961BD5">
        <w:trPr>
          <w:tblCellSpacing w:w="15" w:type="dxa"/>
          <w:jc w:val="center"/>
        </w:trPr>
        <w:tc>
          <w:tcPr>
            <w:tcW w:w="1650"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961BD5" w:rsidRPr="00961BD5" w:rsidRDefault="00961BD5" w:rsidP="00961BD5">
            <w:pPr>
              <w:widowControl/>
              <w:jc w:val="center"/>
              <w:rPr>
                <w:rFonts w:ascii="新細明體" w:eastAsia="新細明體" w:hAnsi="新細明體" w:cs="新細明體"/>
                <w:kern w:val="0"/>
                <w:sz w:val="23"/>
                <w:szCs w:val="23"/>
              </w:rPr>
            </w:pPr>
            <w:r w:rsidRPr="00961BD5">
              <w:rPr>
                <w:rFonts w:ascii="新細明體" w:eastAsia="新細明體" w:hAnsi="新細明體" w:cs="新細明體"/>
                <w:kern w:val="0"/>
                <w:sz w:val="23"/>
                <w:szCs w:val="23"/>
              </w:rPr>
              <w:t>網站連結</w:t>
            </w:r>
          </w:p>
        </w:tc>
        <w:tc>
          <w:tcPr>
            <w:tcW w:w="3000" w:type="dxa"/>
            <w:gridSpan w:val="3"/>
            <w:tcBorders>
              <w:top w:val="outset" w:sz="6" w:space="0" w:color="CCCCCC"/>
              <w:left w:val="outset" w:sz="6" w:space="0" w:color="CCCCCC"/>
              <w:bottom w:val="outset" w:sz="6" w:space="0" w:color="CCCCCC"/>
              <w:right w:val="outset" w:sz="6" w:space="0" w:color="CCCCCC"/>
            </w:tcBorders>
            <w:vAlign w:val="center"/>
            <w:hideMark/>
          </w:tcPr>
          <w:p w:rsidR="00961BD5" w:rsidRPr="00961BD5" w:rsidRDefault="00961BD5" w:rsidP="00961BD5">
            <w:pPr>
              <w:widowControl/>
              <w:rPr>
                <w:rFonts w:ascii="新細明體" w:eastAsia="新細明體" w:hAnsi="新細明體" w:cs="新細明體"/>
                <w:kern w:val="0"/>
                <w:sz w:val="23"/>
                <w:szCs w:val="23"/>
              </w:rPr>
            </w:pPr>
          </w:p>
        </w:tc>
      </w:tr>
    </w:tbl>
    <w:p w:rsidR="00961BD5" w:rsidRPr="00961BD5" w:rsidRDefault="00961BD5" w:rsidP="00961BD5">
      <w:pPr>
        <w:widowControl/>
        <w:jc w:val="right"/>
        <w:rPr>
          <w:rFonts w:ascii="新細明體" w:eastAsia="新細明體" w:hAnsi="新細明體" w:cs="新細明體"/>
          <w:kern w:val="0"/>
          <w:szCs w:val="24"/>
        </w:rPr>
      </w:pPr>
      <w:r w:rsidRPr="00961BD5">
        <w:rPr>
          <w:rFonts w:ascii="新細明體" w:eastAsia="新細明體" w:hAnsi="新細明體" w:cs="新細明體"/>
          <w:kern w:val="0"/>
          <w:sz w:val="20"/>
          <w:szCs w:val="20"/>
        </w:rPr>
        <w:t>學管科　蔡穎逸　發佈時間：2018-04-23 14:58:49</w:t>
      </w:r>
    </w:p>
    <w:p w:rsidR="00186437" w:rsidRPr="00961BD5" w:rsidRDefault="00186437"/>
    <w:sectPr w:rsidR="00186437" w:rsidRPr="00961BD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D5"/>
    <w:rsid w:val="00186437"/>
    <w:rsid w:val="00961B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9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e.chc.edu.tw/sub/administration/upfile/undefine1804230950.r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oe.chc.edu.tw/sub/administration/upfile/undefine1804230950.pdf" TargetMode="External"/><Relationship Id="rId5" Type="http://schemas.openxmlformats.org/officeDocument/2006/relationships/hyperlink" Target="http://www.boe.chc.edu.tw/sub/administration/upfile/undefine180423094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968</Characters>
  <Application>Microsoft Office Word</Application>
  <DocSecurity>0</DocSecurity>
  <Lines>8</Lines>
  <Paragraphs>2</Paragraphs>
  <ScaleCrop>false</ScaleCrop>
  <Company>SYNNEX</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dc:creator>
  <cp:lastModifiedBy>userA</cp:lastModifiedBy>
  <cp:revision>1</cp:revision>
  <dcterms:created xsi:type="dcterms:W3CDTF">2018-04-23T08:51:00Z</dcterms:created>
  <dcterms:modified xsi:type="dcterms:W3CDTF">2018-04-23T08:52:00Z</dcterms:modified>
</cp:coreProperties>
</file>