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3BE570B" w:rsidR="00EF3250" w:rsidRPr="00AC7C8F" w:rsidRDefault="00EF3250" w:rsidP="00353175">
      <w:pPr>
        <w:jc w:val="center"/>
        <w:rPr>
          <w:rFonts w:ascii="標楷體" w:eastAsia="標楷體" w:hAnsi="標楷體"/>
          <w:b/>
          <w:color w:val="000000" w:themeColor="text1"/>
          <w:sz w:val="36"/>
          <w:szCs w:val="36"/>
        </w:rPr>
      </w:pPr>
      <w:bookmarkStart w:id="0" w:name="_GoBack"/>
      <w:bookmarkEnd w:id="0"/>
      <w:r w:rsidRPr="00AC7C8F">
        <w:rPr>
          <w:rFonts w:ascii="標楷體" w:eastAsia="標楷體" w:hAnsi="標楷體" w:hint="eastAsia"/>
          <w:b/>
          <w:color w:val="000000" w:themeColor="text1"/>
          <w:sz w:val="36"/>
          <w:szCs w:val="36"/>
        </w:rPr>
        <w:t>彰化縣109學年度本土語言口說藝術競賽實施計畫</w:t>
      </w:r>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(一)教育部國民及學前教育署108年12月13日臺教國署國字第1080151069號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閩南語答喙鼓</w:t>
      </w:r>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客家語打嘴鼓</w:t>
      </w:r>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原住民族語口說藝術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w:t>
      </w:r>
      <w:r w:rsidRPr="009E3787">
        <w:rPr>
          <w:rFonts w:ascii="標楷體" w:eastAsia="標楷體" w:hAnsi="標楷體" w:hint="eastAsia"/>
          <w:b/>
          <w:color w:val="FF0000"/>
          <w:sz w:val="28"/>
          <w:szCs w:val="28"/>
          <w:u w:val="single"/>
        </w:rPr>
        <w:t>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為4至5分鐘。不足4分鐘或超過5分鐘者均扣分，每半分鐘扣總平均1分，不足半分鐘以半分鐘計；4分鐘時按鈴ㄧ聲，5分鐘按鈴二聲。計時以開口發聲(或音樂)至聲音結束為止。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r w:rsidRPr="00AC7C8F">
        <w:rPr>
          <w:rFonts w:ascii="標楷體" w:eastAsia="標楷體" w:hAnsi="標楷體" w:hint="eastAsia"/>
          <w:color w:val="000000" w:themeColor="text1"/>
          <w:sz w:val="28"/>
          <w:szCs w:val="28"/>
        </w:rPr>
        <w:t>逕寄(送)「彰化縣芬園鄉彰南路四段27巷80號 芬園國中教務處收」，信封上面請註明「109學年度口說藝術競賽報名」，再以電話進行確認是否報名成功。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，以郵戳為憑，逾期不予受理。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，此訊息併同報名總名冊於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及芬園國中網站，請確實核對，以確認報名之完成（報名後即不得以任何理由更換選手及指導教師，資料如有繕誤，請通知芬園國中教學組長翁組長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)競賽員應準時進場，叫號3次未上台者，均以棄權論。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(一)</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錄取名額以該組參賽隊數1/3為原則，採無條件進位為錄取原則，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辦理），不另頒給獎狀，該指導教師若為代理代課教師、實習教師、支援教學人員，則改以核發獎狀乙紙；其餘得獎個人及第一名之外指導老師核發獎狀各乙紙。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(四)指導老師以報名表所填列為準，每項限1人（報名後不得以任何理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(五)同一教師指導多名學生分獲同組別各等第者，以最高獎勵為原則，如等第相同，擇一辦理；同一教師可同時指導學生參加不同組別的競賽，且分別敘獎。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本競賽列入十二年國教免試入學超額比序</w:t>
      </w:r>
      <w:r w:rsidR="00904F9B" w:rsidRPr="00AC7C8F">
        <w:rPr>
          <w:rFonts w:ascii="標楷體" w:eastAsia="標楷體" w:hAnsi="標楷體"/>
          <w:b/>
          <w:color w:val="000000" w:themeColor="text1"/>
          <w:sz w:val="28"/>
          <w:szCs w:val="28"/>
          <w:u w:val="single"/>
        </w:rPr>
        <w:t>縣級競賽採計項目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承辦學校工作人員由本府另案簽請敘獎，敘獎名額為承辦學校校長及主要承辦人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r w:rsidR="003C31C5">
        <w:rPr>
          <w:rFonts w:ascii="標楷體" w:eastAsia="標楷體" w:hAnsi="標楷體" w:hint="eastAsia"/>
          <w:color w:val="000000" w:themeColor="text1"/>
          <w:sz w:val="28"/>
          <w:szCs w:val="28"/>
        </w:rPr>
        <w:t>覈</w:t>
      </w:r>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□客家語打嘴鼓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□原住民族語口說藝術___________族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收，信封請註明「109學年度口說藝術競賽報名」(郵戳為憑)。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9DF73" w14:textId="77777777" w:rsidR="00D77A69" w:rsidRDefault="00D77A69" w:rsidP="00F260CE">
      <w:pPr>
        <w:rPr>
          <w:rFonts w:cs="Times New Roman"/>
        </w:rPr>
      </w:pPr>
      <w:r>
        <w:rPr>
          <w:rFonts w:cs="Times New Roman"/>
        </w:rPr>
        <w:separator/>
      </w:r>
    </w:p>
  </w:endnote>
  <w:endnote w:type="continuationSeparator" w:id="0">
    <w:p w14:paraId="18BC1713" w14:textId="77777777" w:rsidR="00D77A69" w:rsidRDefault="00D77A69"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8C2E9" w14:textId="77777777" w:rsidR="00D77A69" w:rsidRDefault="00D77A69" w:rsidP="00F260CE">
      <w:pPr>
        <w:rPr>
          <w:rFonts w:cs="Times New Roman"/>
        </w:rPr>
      </w:pPr>
      <w:r>
        <w:rPr>
          <w:rFonts w:cs="Times New Roman"/>
        </w:rPr>
        <w:separator/>
      </w:r>
    </w:p>
  </w:footnote>
  <w:footnote w:type="continuationSeparator" w:id="0">
    <w:p w14:paraId="61593C9C" w14:textId="77777777" w:rsidR="00D77A69" w:rsidRDefault="00D77A69"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6DF"/>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E3787"/>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564A"/>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77A69"/>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B39F-D73E-4734-BFBA-58CEDFBA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2020-12-31T06:19:00Z</dcterms:created>
  <dcterms:modified xsi:type="dcterms:W3CDTF">2020-12-31T06:19:00Z</dcterms:modified>
</cp:coreProperties>
</file>